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黑体" w:eastAsia="黑体" w:cs="黑体"/>
          <w:bCs/>
          <w:sz w:val="32"/>
          <w:szCs w:val="28"/>
        </w:rPr>
      </w:pPr>
      <w:r>
        <w:rPr>
          <w:rFonts w:hint="eastAsia" w:ascii="黑体" w:hAnsi="黑体" w:eastAsia="黑体" w:cs="黑体"/>
          <w:bCs/>
          <w:sz w:val="32"/>
          <w:szCs w:val="28"/>
        </w:rPr>
        <w:t>附件</w:t>
      </w:r>
    </w:p>
    <w:p>
      <w:pPr>
        <w:spacing w:line="560" w:lineRule="exact"/>
        <w:jc w:val="center"/>
        <w:rPr>
          <w:rFonts w:ascii="方正小标宋_GBK" w:hAnsi="方正小标宋_GBK" w:eastAsia="方正小标宋_GBK" w:cs="方正小标宋_GBK"/>
          <w:bCs/>
          <w:sz w:val="36"/>
          <w:szCs w:val="24"/>
        </w:rPr>
      </w:pPr>
      <w:r>
        <w:rPr>
          <w:rFonts w:hint="eastAsia" w:ascii="方正小标宋_GBK" w:hAnsi="方正小标宋_GBK" w:eastAsia="方正小标宋_GBK" w:cs="方正小标宋_GBK"/>
          <w:bCs/>
          <w:sz w:val="36"/>
          <w:szCs w:val="24"/>
        </w:rPr>
        <w:t>子基金管理机构资质合规自评表</w:t>
      </w:r>
    </w:p>
    <w:p>
      <w:pPr>
        <w:spacing w:line="560" w:lineRule="exact"/>
        <w:jc w:val="left"/>
        <w:rPr>
          <w:rFonts w:ascii="仿宋_GB2312" w:hAnsi="仿宋_GB2312" w:eastAsia="仿宋_GB2312" w:cs="仿宋_GB2312"/>
          <w:b/>
          <w:sz w:val="28"/>
          <w:szCs w:val="24"/>
        </w:rPr>
      </w:pPr>
    </w:p>
    <w:p>
      <w:pPr>
        <w:spacing w:line="560" w:lineRule="exact"/>
        <w:jc w:val="left"/>
        <w:rPr>
          <w:b/>
          <w:sz w:val="28"/>
          <w:szCs w:val="24"/>
        </w:rPr>
      </w:pPr>
      <w:r>
        <w:rPr>
          <w:rFonts w:hint="eastAsia" w:ascii="仿宋_GB2312" w:hAnsi="仿宋_GB2312" w:eastAsia="仿宋_GB2312" w:cs="仿宋_GB2312"/>
          <w:b/>
          <w:sz w:val="28"/>
          <w:szCs w:val="24"/>
        </w:rPr>
        <w:t>拟申</w:t>
      </w:r>
      <w:r>
        <w:rPr>
          <w:rFonts w:hint="eastAsia" w:ascii="仿宋_GB2312" w:hAnsi="仿宋_GB2312" w:eastAsia="仿宋_GB2312" w:cs="仿宋_GB2312"/>
          <w:b/>
          <w:sz w:val="28"/>
          <w:szCs w:val="24"/>
          <w:lang w:val="en-US" w:eastAsia="zh-CN"/>
        </w:rPr>
        <w:t>报机构</w:t>
      </w:r>
      <w:r>
        <w:rPr>
          <w:rFonts w:hint="eastAsia" w:ascii="仿宋_GB2312" w:hAnsi="仿宋_GB2312" w:eastAsia="仿宋_GB2312" w:cs="仿宋_GB2312"/>
          <w:b/>
          <w:sz w:val="28"/>
          <w:szCs w:val="24"/>
        </w:rPr>
        <w:t>名称：</w:t>
      </w:r>
    </w:p>
    <w:p>
      <w:pPr>
        <w:numPr>
          <w:numId w:val="0"/>
        </w:numPr>
        <w:spacing w:line="560" w:lineRule="exact"/>
        <w:outlineLvl w:val="0"/>
        <w:rPr>
          <w:rFonts w:hint="eastAsia" w:ascii="黑体" w:hAnsi="黑体" w:eastAsia="黑体" w:cs="黑体"/>
          <w:sz w:val="32"/>
          <w:szCs w:val="40"/>
        </w:rPr>
      </w:pPr>
    </w:p>
    <w:p>
      <w:pPr>
        <w:numPr>
          <w:ilvl w:val="0"/>
          <w:numId w:val="1"/>
        </w:numPr>
        <w:spacing w:line="560" w:lineRule="exact"/>
        <w:ind w:firstLine="640" w:firstLineChars="200"/>
        <w:outlineLvl w:val="0"/>
        <w:rPr>
          <w:rFonts w:hint="eastAsia" w:ascii="黑体" w:hAnsi="黑体" w:eastAsia="黑体" w:cs="黑体"/>
          <w:sz w:val="32"/>
          <w:szCs w:val="40"/>
        </w:rPr>
      </w:pPr>
      <w:r>
        <w:rPr>
          <w:rFonts w:hint="eastAsia" w:ascii="黑体" w:hAnsi="黑体" w:eastAsia="黑体" w:cs="黑体"/>
          <w:sz w:val="32"/>
          <w:szCs w:val="40"/>
        </w:rPr>
        <w:t>申</w:t>
      </w:r>
      <w:r>
        <w:rPr>
          <w:rFonts w:hint="eastAsia" w:ascii="黑体" w:hAnsi="黑体" w:eastAsia="黑体" w:cs="黑体"/>
          <w:sz w:val="32"/>
          <w:szCs w:val="40"/>
          <w:lang w:val="en-US" w:eastAsia="zh-CN"/>
        </w:rPr>
        <w:t>报</w:t>
      </w:r>
      <w:r>
        <w:rPr>
          <w:rFonts w:hint="eastAsia" w:ascii="黑体" w:hAnsi="黑体" w:eastAsia="黑体" w:cs="黑体"/>
          <w:sz w:val="32"/>
          <w:szCs w:val="40"/>
        </w:rPr>
        <w:t>机构要求</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3666"/>
        <w:gridCol w:w="1128"/>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blHeader/>
          <w:jc w:val="center"/>
        </w:trPr>
        <w:tc>
          <w:tcPr>
            <w:tcW w:w="2773" w:type="pct"/>
            <w:gridSpan w:val="2"/>
            <w:shd w:val="clear" w:color="auto" w:fill="auto"/>
            <w:vAlign w:val="center"/>
          </w:tcPr>
          <w:p>
            <w:pPr>
              <w:spacing w:line="360" w:lineRule="exact"/>
              <w:jc w:val="center"/>
              <w:rPr>
                <w:rFonts w:ascii="仿宋_GB2312" w:hAnsi="仿宋_GB2312" w:eastAsia="仿宋_GB2312" w:cs="仿宋_GB2312"/>
                <w:b/>
                <w:sz w:val="22"/>
                <w:szCs w:val="24"/>
              </w:rPr>
            </w:pPr>
            <w:r>
              <w:rPr>
                <w:rFonts w:hint="eastAsia" w:ascii="仿宋_GB2312" w:hAnsi="仿宋_GB2312" w:eastAsia="仿宋_GB2312" w:cs="仿宋_GB2312"/>
                <w:b/>
                <w:sz w:val="22"/>
                <w:szCs w:val="24"/>
              </w:rPr>
              <w:t>项目</w:t>
            </w:r>
          </w:p>
        </w:tc>
        <w:tc>
          <w:tcPr>
            <w:tcW w:w="662" w:type="pct"/>
            <w:shd w:val="clear" w:color="auto" w:fill="auto"/>
            <w:vAlign w:val="center"/>
          </w:tcPr>
          <w:p>
            <w:pPr>
              <w:spacing w:line="360" w:lineRule="exact"/>
              <w:jc w:val="center"/>
              <w:rPr>
                <w:rFonts w:ascii="仿宋_GB2312" w:hAnsi="仿宋_GB2312" w:eastAsia="仿宋_GB2312" w:cs="仿宋_GB2312"/>
                <w:b/>
                <w:color w:val="000000"/>
                <w:sz w:val="22"/>
                <w:szCs w:val="24"/>
              </w:rPr>
            </w:pPr>
            <w:r>
              <w:rPr>
                <w:rFonts w:hint="eastAsia" w:ascii="仿宋_GB2312" w:hAnsi="仿宋_GB2312" w:eastAsia="仿宋_GB2312" w:cs="仿宋_GB2312"/>
                <w:b/>
                <w:color w:val="000000"/>
                <w:sz w:val="22"/>
                <w:szCs w:val="24"/>
              </w:rPr>
              <w:t>是否符合</w:t>
            </w:r>
          </w:p>
        </w:tc>
        <w:tc>
          <w:tcPr>
            <w:tcW w:w="1564" w:type="pct"/>
            <w:shd w:val="clear" w:color="auto" w:fill="auto"/>
            <w:vAlign w:val="center"/>
          </w:tcPr>
          <w:p>
            <w:pPr>
              <w:spacing w:line="360" w:lineRule="exact"/>
              <w:jc w:val="center"/>
              <w:rPr>
                <w:rFonts w:hint="default" w:ascii="仿宋_GB2312" w:hAnsi="仿宋_GB2312" w:eastAsia="仿宋_GB2312" w:cs="仿宋_GB2312"/>
                <w:b/>
                <w:color w:val="000000"/>
                <w:sz w:val="22"/>
                <w:szCs w:val="24"/>
                <w:lang w:val="en-US" w:eastAsia="zh-CN"/>
              </w:rPr>
            </w:pPr>
            <w:r>
              <w:rPr>
                <w:rFonts w:hint="eastAsia" w:ascii="仿宋_GB2312" w:hAnsi="仿宋_GB2312" w:eastAsia="仿宋_GB2312" w:cs="仿宋_GB2312"/>
                <w:b/>
                <w:color w:val="000000"/>
                <w:sz w:val="22"/>
                <w:szCs w:val="24"/>
                <w:lang w:val="en-US" w:eastAsia="zh-CN"/>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restar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管理机构基本资质</w:t>
            </w:r>
          </w:p>
        </w:tc>
        <w:tc>
          <w:tcPr>
            <w:tcW w:w="2151" w:type="pct"/>
            <w:shd w:val="clear" w:color="auto" w:fill="auto"/>
            <w:vAlign w:val="center"/>
          </w:tcPr>
          <w:p>
            <w:pPr>
              <w:spacing w:line="360" w:lineRule="exact"/>
              <w:rPr>
                <w:rFonts w:hint="eastAsia" w:ascii="仿宋_GB2312" w:hAnsi="仿宋_GB2312" w:eastAsia="仿宋_GB2312" w:cs="仿宋_GB2312"/>
                <w:lang w:eastAsia="zh-CN"/>
              </w:rPr>
            </w:pPr>
            <w:r>
              <w:rPr>
                <w:rFonts w:hint="eastAsia" w:ascii="仿宋_GB2312" w:hAnsi="仿宋_GB2312" w:eastAsia="仿宋_GB2312" w:cs="仿宋_GB2312"/>
              </w:rPr>
              <w:t>1.依法设立的公司或合伙企业，实收资本不低于1000万元人民币，在中国证券投资基金业协会登记为私募股权、创业投资基金管理人</w:t>
            </w:r>
            <w:r>
              <w:rPr>
                <w:rFonts w:hint="eastAsia" w:ascii="仿宋_GB2312" w:hAnsi="仿宋_GB2312" w:eastAsia="仿宋_GB2312" w:cs="仿宋_GB2312"/>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hint="eastAsia" w:ascii="仿宋_GB2312" w:hAnsi="仿宋_GB2312" w:eastAsia="仿宋_GB2312" w:cs="仿宋_GB2312"/>
                <w:lang w:eastAsia="zh-CN"/>
              </w:rPr>
            </w:pPr>
            <w:r>
              <w:rPr>
                <w:rFonts w:hint="eastAsia" w:ascii="仿宋_GB2312" w:hAnsi="仿宋_GB2312" w:eastAsia="仿宋_GB2312" w:cs="仿宋_GB2312"/>
              </w:rPr>
              <w:t>2.至少有3名具备3年以上资产管理工作经验的高级管理人员</w:t>
            </w:r>
            <w:r>
              <w:rPr>
                <w:rFonts w:hint="eastAsia" w:ascii="仿宋_GB2312" w:hAnsi="仿宋_GB2312" w:eastAsia="仿宋_GB2312" w:cs="仿宋_GB2312"/>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hint="eastAsia" w:ascii="仿宋_GB2312" w:hAnsi="仿宋_GB2312" w:eastAsia="仿宋_GB2312" w:cs="仿宋_GB2312"/>
                <w:lang w:eastAsia="zh-CN"/>
              </w:rPr>
            </w:pPr>
            <w:r>
              <w:rPr>
                <w:rFonts w:hint="eastAsia" w:ascii="仿宋_GB2312" w:hAnsi="仿宋_GB2312" w:eastAsia="仿宋_GB2312" w:cs="仿宋_GB2312"/>
              </w:rPr>
              <w:t>3.</w:t>
            </w:r>
            <w:r>
              <w:rPr>
                <w:rFonts w:hint="eastAsia" w:ascii="仿宋_GB2312" w:hAnsi="仿宋_GB2312" w:eastAsia="仿宋_GB2312" w:cs="仿宋_GB2312"/>
                <w:lang w:val="en-US" w:eastAsia="zh-CN"/>
              </w:rPr>
              <w:t>子</w:t>
            </w:r>
            <w:r>
              <w:rPr>
                <w:rFonts w:hint="eastAsia" w:ascii="仿宋_GB2312" w:hAnsi="仿宋_GB2312" w:eastAsia="仿宋_GB2312" w:cs="仿宋_GB2312"/>
              </w:rPr>
              <w:t>基金管理机构及其董事、监事、高级管理人员及其他从业人员在最近三年无重大违法行为；</w:t>
            </w:r>
            <w:r>
              <w:rPr>
                <w:rFonts w:hint="eastAsia" w:ascii="仿宋_GB2312" w:hAnsi="仿宋_GB2312" w:eastAsia="仿宋_GB2312" w:cs="仿宋_GB2312"/>
                <w:lang w:val="en-US" w:eastAsia="zh-CN"/>
              </w:rPr>
              <w:t>子</w:t>
            </w:r>
            <w:r>
              <w:rPr>
                <w:rFonts w:hint="eastAsia" w:ascii="仿宋_GB2312" w:hAnsi="仿宋_GB2312" w:eastAsia="仿宋_GB2312" w:cs="仿宋_GB2312"/>
              </w:rPr>
              <w:t>基金管理机构最近三年无明显违反有关政策或以申领财政奖励为目的的政府投资基金投资行为</w:t>
            </w:r>
            <w:r>
              <w:rPr>
                <w:rFonts w:hint="eastAsia" w:ascii="仿宋_GB2312" w:hAnsi="仿宋_GB2312" w:eastAsia="仿宋_GB2312" w:cs="仿宋_GB2312"/>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4.有符合要求的营业场所、安全防范设施和与基金管理业务有关的其他设施</w:t>
            </w:r>
            <w:r>
              <w:rPr>
                <w:rFonts w:hint="eastAsia" w:ascii="仿宋_GB2312" w:hAnsi="仿宋_GB2312" w:eastAsia="仿宋_GB2312" w:cs="仿宋_GB2312"/>
                <w:szCs w:val="21"/>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vMerge w:val="continue"/>
            <w:shd w:val="clear" w:color="auto" w:fill="auto"/>
            <w:vAlign w:val="center"/>
          </w:tcPr>
          <w:p>
            <w:pPr>
              <w:spacing w:line="360" w:lineRule="exact"/>
              <w:jc w:val="center"/>
              <w:rPr>
                <w:rFonts w:ascii="仿宋_GB2312" w:hAnsi="仿宋_GB2312" w:eastAsia="仿宋_GB2312" w:cs="仿宋_GB2312"/>
              </w:rPr>
            </w:pPr>
          </w:p>
        </w:tc>
        <w:tc>
          <w:tcPr>
            <w:tcW w:w="2151" w:type="pct"/>
            <w:shd w:val="clear" w:color="auto" w:fill="auto"/>
            <w:vAlign w:val="center"/>
          </w:tcPr>
          <w:p>
            <w:pPr>
              <w:spacing w:line="360" w:lineRule="exact"/>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5.有良好的内部治理结构和风险控制制度</w:t>
            </w:r>
            <w:r>
              <w:rPr>
                <w:rFonts w:hint="eastAsia" w:ascii="仿宋_GB2312" w:hAnsi="仿宋_GB2312" w:eastAsia="仿宋_GB2312" w:cs="仿宋_GB2312"/>
                <w:szCs w:val="21"/>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hint="eastAsia" w:ascii="仿宋_GB2312" w:hAnsi="仿宋_GB2312" w:eastAsia="仿宋_GB2312" w:cs="仿宋_GB2312"/>
                <w:lang w:val="en-US" w:eastAsia="zh-CN"/>
              </w:rPr>
            </w:pPr>
            <w:r>
              <w:rPr>
                <w:rFonts w:hint="eastAsia" w:ascii="仿宋_GB2312" w:hAnsi="仿宋_GB2312" w:eastAsia="仿宋_GB2312" w:cs="仿宋_GB2312"/>
              </w:rPr>
              <w:t>管理机构出资</w:t>
            </w:r>
            <w:r>
              <w:rPr>
                <w:rFonts w:hint="eastAsia" w:ascii="仿宋_GB2312" w:hAnsi="仿宋_GB2312" w:eastAsia="仿宋_GB2312" w:cs="仿宋_GB2312"/>
                <w:lang w:val="en-US" w:eastAsia="zh-CN"/>
              </w:rPr>
              <w:t>情况</w:t>
            </w:r>
          </w:p>
        </w:tc>
        <w:tc>
          <w:tcPr>
            <w:tcW w:w="2151" w:type="pct"/>
            <w:shd w:val="clear" w:color="auto" w:fill="auto"/>
            <w:vAlign w:val="center"/>
          </w:tcPr>
          <w:p>
            <w:pPr>
              <w:spacing w:line="360" w:lineRule="exact"/>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子基金管理机构及其关联方出资比例不低于子基金认缴规模的1%</w:t>
            </w:r>
            <w:r>
              <w:rPr>
                <w:rFonts w:hint="eastAsia" w:ascii="仿宋_GB2312" w:hAnsi="仿宋_GB2312" w:eastAsia="仿宋_GB2312" w:cs="仿宋_GB2312"/>
                <w:szCs w:val="21"/>
                <w:lang w:eastAsia="zh-CN"/>
              </w:rPr>
              <w:t>。</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22" w:type="pct"/>
            <w:shd w:val="clear" w:color="auto" w:fill="auto"/>
            <w:vAlign w:val="center"/>
          </w:tcPr>
          <w:p>
            <w:pPr>
              <w:spacing w:line="360" w:lineRule="exact"/>
              <w:jc w:val="center"/>
              <w:rPr>
                <w:rFonts w:ascii="仿宋_GB2312" w:hAnsi="仿宋_GB2312" w:eastAsia="仿宋_GB2312" w:cs="仿宋_GB2312"/>
              </w:rPr>
            </w:pPr>
            <w:r>
              <w:rPr>
                <w:rFonts w:hint="eastAsia" w:ascii="仿宋_GB2312" w:hAnsi="仿宋_GB2312" w:eastAsia="仿宋_GB2312" w:cs="仿宋_GB2312"/>
              </w:rPr>
              <w:t>管理机构募资能力</w:t>
            </w:r>
          </w:p>
        </w:tc>
        <w:tc>
          <w:tcPr>
            <w:tcW w:w="2151" w:type="pct"/>
            <w:shd w:val="clear" w:color="auto" w:fill="auto"/>
            <w:vAlign w:val="center"/>
          </w:tcPr>
          <w:p>
            <w:pPr>
              <w:spacing w:line="360" w:lineRule="exact"/>
              <w:rPr>
                <w:rFonts w:ascii="仿宋_GB2312" w:hAnsi="仿宋_GB2312" w:eastAsia="仿宋_GB2312" w:cs="仿宋_GB2312"/>
              </w:rPr>
            </w:pPr>
            <w:r>
              <w:rPr>
                <w:rFonts w:hint="eastAsia" w:ascii="仿宋_GB2312" w:hAnsi="仿宋_GB2312" w:eastAsia="仿宋_GB2312" w:cs="仿宋_GB2312"/>
              </w:rPr>
              <w:t>子基金管理机构应提交募资能力证明材料。申请新设子基金的，在提交子基金申报方案时，须至少已经募集到拟设立子基金首期认缴规模的50%资金(不含母基金出资部分)，并提供拟出资人的出资承诺函或其他出资证明文件。母基金投资已设立基金的，应提供母基金可以平价投资及享有子基金已投资项目收益(如有)的佐证材料。</w:t>
            </w:r>
          </w:p>
        </w:tc>
        <w:tc>
          <w:tcPr>
            <w:tcW w:w="662" w:type="pct"/>
            <w:shd w:val="clear" w:color="auto" w:fill="auto"/>
            <w:vAlign w:val="center"/>
          </w:tcPr>
          <w:p>
            <w:pPr>
              <w:spacing w:line="360" w:lineRule="exact"/>
              <w:rPr>
                <w:rFonts w:ascii="仿宋_GB2312" w:hAnsi="仿宋_GB2312" w:eastAsia="仿宋_GB2312" w:cs="仿宋_GB2312"/>
                <w:szCs w:val="21"/>
              </w:rPr>
            </w:pPr>
          </w:p>
        </w:tc>
        <w:tc>
          <w:tcPr>
            <w:tcW w:w="1564" w:type="pct"/>
            <w:shd w:val="clear" w:color="auto" w:fill="auto"/>
            <w:vAlign w:val="center"/>
          </w:tcPr>
          <w:p>
            <w:pPr>
              <w:spacing w:line="360" w:lineRule="exact"/>
              <w:rPr>
                <w:rFonts w:ascii="仿宋_GB2312" w:hAnsi="仿宋_GB2312" w:eastAsia="仿宋_GB2312" w:cs="仿宋_GB2312"/>
                <w:szCs w:val="21"/>
              </w:rPr>
            </w:pPr>
          </w:p>
        </w:tc>
      </w:tr>
    </w:tbl>
    <w:p>
      <w:pPr>
        <w:spacing w:line="560" w:lineRule="exact"/>
        <w:rPr>
          <w:rFonts w:hint="eastAsia" w:ascii="仿宋_GB2312" w:hAnsi="仿宋_GB2312" w:eastAsia="仿宋_GB2312" w:cs="仿宋_GB2312"/>
          <w:b/>
        </w:rPr>
      </w:pPr>
      <w:r>
        <w:rPr>
          <w:rFonts w:hint="eastAsia" w:ascii="仿宋_GB2312" w:hAnsi="仿宋_GB2312" w:eastAsia="仿宋_GB2312" w:cs="仿宋_GB2312"/>
          <w:b/>
        </w:rPr>
        <w:t>注：申</w:t>
      </w:r>
      <w:r>
        <w:rPr>
          <w:rFonts w:hint="eastAsia" w:ascii="仿宋_GB2312" w:hAnsi="仿宋_GB2312" w:eastAsia="仿宋_GB2312" w:cs="仿宋_GB2312"/>
          <w:b/>
          <w:lang w:val="en-US" w:eastAsia="zh-CN"/>
        </w:rPr>
        <w:t>报</w:t>
      </w:r>
      <w:r>
        <w:rPr>
          <w:rFonts w:hint="eastAsia" w:ascii="仿宋_GB2312" w:hAnsi="仿宋_GB2312" w:eastAsia="仿宋_GB2312" w:cs="仿宋_GB2312"/>
          <w:b/>
        </w:rPr>
        <w:t>机构应开展合规性自</w:t>
      </w:r>
      <w:r>
        <w:rPr>
          <w:rFonts w:hint="eastAsia" w:ascii="仿宋_GB2312" w:hAnsi="仿宋_GB2312" w:eastAsia="仿宋_GB2312" w:cs="仿宋_GB2312"/>
          <w:b/>
          <w:lang w:val="en-US" w:eastAsia="zh-CN"/>
        </w:rPr>
        <w:t>评</w:t>
      </w:r>
      <w:r>
        <w:rPr>
          <w:rFonts w:hint="eastAsia" w:ascii="仿宋_GB2312" w:hAnsi="仿宋_GB2312" w:eastAsia="仿宋_GB2312" w:cs="仿宋_GB2312"/>
          <w:b/>
        </w:rPr>
        <w:t>，并在是否符合一栏填写“√”或“х”，需要进一步说明的事项请填写在</w:t>
      </w:r>
      <w:r>
        <w:rPr>
          <w:rFonts w:hint="eastAsia" w:ascii="仿宋_GB2312" w:hAnsi="仿宋_GB2312" w:eastAsia="仿宋_GB2312" w:cs="仿宋_GB2312"/>
          <w:b/>
          <w:lang w:val="en-US" w:eastAsia="zh-CN"/>
        </w:rPr>
        <w:t>情况说明栏内</w:t>
      </w:r>
      <w:r>
        <w:rPr>
          <w:rFonts w:hint="eastAsia" w:ascii="仿宋_GB2312" w:hAnsi="仿宋_GB2312" w:eastAsia="仿宋_GB2312" w:cs="仿宋_GB2312"/>
          <w:b/>
        </w:rPr>
        <w:t>。</w:t>
      </w:r>
    </w:p>
    <w:p>
      <w:pPr>
        <w:pStyle w:val="2"/>
      </w:pPr>
    </w:p>
    <w:p>
      <w:pPr>
        <w:numPr>
          <w:ilvl w:val="0"/>
          <w:numId w:val="1"/>
        </w:numPr>
        <w:spacing w:line="560" w:lineRule="exact"/>
        <w:ind w:firstLine="640" w:firstLineChars="200"/>
        <w:outlineLvl w:val="0"/>
        <w:rPr>
          <w:rFonts w:hint="eastAsia" w:ascii="黑体" w:hAnsi="黑体" w:eastAsia="黑体" w:cs="黑体"/>
          <w:sz w:val="32"/>
          <w:szCs w:val="40"/>
          <w:lang w:val="en-US" w:eastAsia="zh-CN"/>
        </w:rPr>
      </w:pPr>
      <w:bookmarkStart w:id="0" w:name="OLE_LINK1"/>
      <w:r>
        <w:rPr>
          <w:rFonts w:hint="eastAsia" w:ascii="黑体" w:hAnsi="黑体" w:eastAsia="黑体" w:cs="黑体"/>
          <w:sz w:val="32"/>
          <w:szCs w:val="40"/>
        </w:rPr>
        <w:t>子基金设立要求</w:t>
      </w:r>
      <w:bookmarkEnd w:id="0"/>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7" w:hRule="atLeast"/>
          <w:tblHeader/>
          <w:jc w:val="center"/>
        </w:trPr>
        <w:tc>
          <w:tcPr>
            <w:tcW w:w="0" w:type="auto"/>
            <w:shd w:val="clear" w:color="auto" w:fill="auto"/>
            <w:vAlign w:val="center"/>
          </w:tcPr>
          <w:p>
            <w:pPr>
              <w:spacing w:line="360" w:lineRule="exact"/>
              <w:jc w:val="center"/>
              <w:rPr>
                <w:rFonts w:hint="eastAsia" w:ascii="仿宋_GB2312" w:hAnsi="仿宋_GB2312" w:eastAsia="仿宋_GB2312" w:cs="仿宋_GB2312"/>
                <w:b/>
                <w:sz w:val="22"/>
                <w:szCs w:val="24"/>
              </w:rPr>
            </w:pPr>
            <w:r>
              <w:rPr>
                <w:rFonts w:hint="eastAsia" w:ascii="仿宋_GB2312" w:hAnsi="仿宋_GB2312" w:eastAsia="仿宋_GB2312" w:cs="仿宋_GB2312"/>
                <w:b/>
                <w:sz w:val="22"/>
                <w:szCs w:val="24"/>
              </w:rPr>
              <w:t>基金要素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shd w:val="clear" w:color="auto" w:fill="auto"/>
            <w:vAlign w:val="center"/>
          </w:tcPr>
          <w:p>
            <w:pPr>
              <w:spacing w:line="36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1.子基金首期认缴规模不低于1亿元。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shd w:val="clear" w:color="auto" w:fill="auto"/>
            <w:vAlign w:val="center"/>
          </w:tcPr>
          <w:p>
            <w:pPr>
              <w:spacing w:line="36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2.原则上母基金对单只子基金出资不超过子基金认缴规模的30%，金额不超过1亿元。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shd w:val="clear" w:color="auto" w:fill="auto"/>
            <w:vAlign w:val="center"/>
          </w:tcPr>
          <w:p>
            <w:pPr>
              <w:spacing w:line="36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3.子基金注册地应为福建省内。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shd w:val="clear" w:color="auto" w:fill="auto"/>
            <w:vAlign w:val="center"/>
          </w:tcPr>
          <w:p>
            <w:pPr>
              <w:spacing w:line="36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4.子基金投向获评为省级专精特新中小企业和创新型中小企业的比例不得低于子基金实缴规模的60%。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shd w:val="clear" w:color="auto" w:fill="auto"/>
            <w:vAlign w:val="center"/>
          </w:tcPr>
          <w:p>
            <w:pPr>
              <w:spacing w:line="360" w:lineRule="exact"/>
              <w:rPr>
                <w:rFonts w:ascii="仿宋_GB2312" w:hAnsi="仿宋_GB2312" w:eastAsia="仿宋_GB2312" w:cs="仿宋_GB2312"/>
                <w:szCs w:val="21"/>
              </w:rPr>
            </w:pPr>
            <w:r>
              <w:rPr>
                <w:rFonts w:hint="eastAsia" w:ascii="仿宋_GB2312" w:hAnsi="仿宋_GB2312" w:eastAsia="仿宋_GB2312" w:cs="仿宋_GB2312"/>
                <w:szCs w:val="21"/>
                <w:lang w:val="en-US" w:eastAsia="zh-CN"/>
              </w:rPr>
              <w:t>5.</w:t>
            </w:r>
            <w:r>
              <w:rPr>
                <w:rFonts w:hint="eastAsia" w:ascii="仿宋_GB2312" w:hAnsi="仿宋_GB2312" w:eastAsia="仿宋_GB2312" w:cs="仿宋_GB2312"/>
                <w:szCs w:val="21"/>
              </w:rPr>
              <w:t xml:space="preserve">子基金投资于福建省的资金不低于福建省各级政府全部出资额的1.2倍。 </w:t>
            </w:r>
          </w:p>
        </w:tc>
      </w:tr>
    </w:tbl>
    <w:p>
      <w:pPr>
        <w:spacing w:line="560" w:lineRule="exact"/>
        <w:ind w:firstLine="640" w:firstLineChars="200"/>
        <w:rPr>
          <w:rFonts w:hint="eastAsia" w:ascii="仿宋_GB2312" w:hAnsi="仿宋_GB2312" w:eastAsia="仿宋_GB2312" w:cs="仿宋_GB2312"/>
          <w:sz w:val="32"/>
          <w:szCs w:val="40"/>
          <w:lang w:val="en-US" w:eastAsia="zh-CN"/>
        </w:rPr>
      </w:pPr>
    </w:p>
    <w:p>
      <w:pPr>
        <w:spacing w:line="560" w:lineRule="exact"/>
        <w:ind w:firstLine="640" w:firstLineChars="200"/>
        <w:rPr>
          <w:rFonts w:hint="default" w:ascii="仿宋_GB2312" w:hAnsi="仿宋_GB2312" w:eastAsia="仿宋_GB2312" w:cs="仿宋_GB2312"/>
          <w:sz w:val="32"/>
          <w:szCs w:val="40"/>
          <w:lang w:val="en-US" w:eastAsia="zh-CN"/>
        </w:rPr>
      </w:pPr>
      <w:bookmarkStart w:id="1" w:name="_GoBack"/>
      <w:r>
        <w:rPr>
          <w:rFonts w:hint="eastAsia" w:ascii="仿宋_GB2312" w:hAnsi="仿宋_GB2312" w:eastAsia="仿宋_GB2312" w:cs="仿宋_GB2312"/>
          <w:sz w:val="32"/>
          <w:szCs w:val="40"/>
          <w:lang w:val="en-US" w:eastAsia="zh-CN"/>
        </w:rPr>
        <w:t>我司承诺将按照上述子</w:t>
      </w:r>
      <w:bookmarkEnd w:id="1"/>
      <w:r>
        <w:rPr>
          <w:rFonts w:hint="eastAsia" w:ascii="仿宋_GB2312" w:hAnsi="仿宋_GB2312" w:eastAsia="仿宋_GB2312" w:cs="仿宋_GB2312"/>
          <w:sz w:val="32"/>
          <w:szCs w:val="40"/>
          <w:lang w:val="en-US" w:eastAsia="zh-CN"/>
        </w:rPr>
        <w:t>基金设立要求设计子基金方案，子基金具体方案以正式提交的申报材料为准。</w:t>
      </w:r>
    </w:p>
    <w:p>
      <w:pPr>
        <w:spacing w:line="560" w:lineRule="exact"/>
        <w:rPr>
          <w:b/>
        </w:rPr>
      </w:pPr>
    </w:p>
    <w:p>
      <w:pPr>
        <w:pStyle w:val="2"/>
      </w:pPr>
    </w:p>
    <w:p>
      <w:pPr>
        <w:spacing w:line="560" w:lineRule="exact"/>
        <w:rPr>
          <w:rFonts w:ascii="仿宋_GB2312" w:eastAsia="仿宋_GB2312"/>
          <w:bCs/>
          <w:sz w:val="32"/>
          <w:szCs w:val="32"/>
        </w:rPr>
      </w:pPr>
      <w:r>
        <w:rPr>
          <w:rFonts w:hint="eastAsia"/>
          <w:b/>
        </w:rPr>
        <w:t xml:space="preserve">                                 </w:t>
      </w:r>
      <w:r>
        <w:rPr>
          <w:rFonts w:hint="eastAsia" w:ascii="仿宋_GB2312" w:eastAsia="仿宋_GB2312"/>
          <w:b/>
          <w:sz w:val="32"/>
          <w:szCs w:val="32"/>
        </w:rPr>
        <w:t xml:space="preserve">       </w:t>
      </w:r>
      <w:r>
        <w:rPr>
          <w:rFonts w:hint="eastAsia" w:ascii="仿宋_GB2312" w:eastAsia="仿宋_GB2312"/>
          <w:bCs/>
          <w:sz w:val="32"/>
          <w:szCs w:val="32"/>
        </w:rPr>
        <w:t xml:space="preserve"> 申</w:t>
      </w:r>
      <w:r>
        <w:rPr>
          <w:rFonts w:hint="eastAsia" w:ascii="仿宋_GB2312" w:eastAsia="仿宋_GB2312"/>
          <w:bCs/>
          <w:sz w:val="32"/>
          <w:szCs w:val="32"/>
          <w:lang w:val="en-US" w:eastAsia="zh-CN"/>
        </w:rPr>
        <w:t>报</w:t>
      </w:r>
      <w:r>
        <w:rPr>
          <w:rFonts w:hint="eastAsia" w:ascii="仿宋_GB2312" w:eastAsia="仿宋_GB2312"/>
          <w:bCs/>
          <w:sz w:val="32"/>
          <w:szCs w:val="32"/>
        </w:rPr>
        <w:t>机构（公章）：</w:t>
      </w:r>
    </w:p>
    <w:p>
      <w:pPr>
        <w:topLinePunct/>
        <w:spacing w:line="600" w:lineRule="exact"/>
        <w:jc w:val="right"/>
        <w:rPr>
          <w:rFonts w:ascii="仿宋_GB2312" w:eastAsia="仿宋_GB2312"/>
          <w:bCs/>
          <w:sz w:val="32"/>
          <w:szCs w:val="32"/>
        </w:rPr>
      </w:pPr>
      <w:r>
        <w:rPr>
          <w:rFonts w:hint="eastAsia" w:ascii="仿宋_GB2312" w:eastAsia="仿宋_GB2312"/>
          <w:bCs/>
          <w:sz w:val="32"/>
          <w:szCs w:val="32"/>
        </w:rPr>
        <w:t xml:space="preserve">   日期：    年   月   日</w:t>
      </w:r>
    </w:p>
    <w:sectPr>
      <w:footerReference r:id="rId3" w:type="default"/>
      <w:pgSz w:w="11906" w:h="16838"/>
      <w:pgMar w:top="1440" w:right="1800" w:bottom="1440" w:left="1800"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仿宋_GB2312" w:hAnsi="仿宋_GB2312" w:eastAsia="仿宋_GB2312" w:cs="仿宋_GB2312"/>
                              <w:sz w:val="24"/>
                              <w:szCs w:val="24"/>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仿宋_GB2312" w:hAnsi="仿宋_GB2312" w:eastAsia="仿宋_GB2312" w:cs="仿宋_GB2312"/>
                        <w:sz w:val="24"/>
                        <w:szCs w:val="24"/>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29DDBC"/>
    <w:multiLevelType w:val="singleLevel"/>
    <w:tmpl w:val="4B29DD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hMWRkMjAyNzNjZjhiODA1MWNmZmYyNjM2NTZiODAifQ=="/>
  </w:docVars>
  <w:rsids>
    <w:rsidRoot w:val="00F42F54"/>
    <w:rsid w:val="00094894"/>
    <w:rsid w:val="000B4BCB"/>
    <w:rsid w:val="000B745A"/>
    <w:rsid w:val="000C2E01"/>
    <w:rsid w:val="00103FAC"/>
    <w:rsid w:val="001643E8"/>
    <w:rsid w:val="001F6AF5"/>
    <w:rsid w:val="002255B2"/>
    <w:rsid w:val="002C6A4A"/>
    <w:rsid w:val="003700B3"/>
    <w:rsid w:val="003E0CE4"/>
    <w:rsid w:val="003E70D4"/>
    <w:rsid w:val="004B1299"/>
    <w:rsid w:val="004E4545"/>
    <w:rsid w:val="00585144"/>
    <w:rsid w:val="005E6BF9"/>
    <w:rsid w:val="00614434"/>
    <w:rsid w:val="00690B58"/>
    <w:rsid w:val="006D7B4E"/>
    <w:rsid w:val="007842D1"/>
    <w:rsid w:val="00796519"/>
    <w:rsid w:val="007D1914"/>
    <w:rsid w:val="007F1A9A"/>
    <w:rsid w:val="007F52FC"/>
    <w:rsid w:val="0096553D"/>
    <w:rsid w:val="0097001F"/>
    <w:rsid w:val="009B29FD"/>
    <w:rsid w:val="009B50EC"/>
    <w:rsid w:val="009C1A2D"/>
    <w:rsid w:val="009C1E69"/>
    <w:rsid w:val="00A66594"/>
    <w:rsid w:val="00A74CA6"/>
    <w:rsid w:val="00AB0BB1"/>
    <w:rsid w:val="00AE239A"/>
    <w:rsid w:val="00B07C37"/>
    <w:rsid w:val="00BB277C"/>
    <w:rsid w:val="00C0418F"/>
    <w:rsid w:val="00C35959"/>
    <w:rsid w:val="00C51CB1"/>
    <w:rsid w:val="00C7144C"/>
    <w:rsid w:val="00D34938"/>
    <w:rsid w:val="00DA204B"/>
    <w:rsid w:val="00DA78D0"/>
    <w:rsid w:val="00DE10C5"/>
    <w:rsid w:val="00E51F4A"/>
    <w:rsid w:val="00E617EB"/>
    <w:rsid w:val="00EC159A"/>
    <w:rsid w:val="00F160F7"/>
    <w:rsid w:val="00F42F54"/>
    <w:rsid w:val="00F73CBE"/>
    <w:rsid w:val="00FB4A43"/>
    <w:rsid w:val="00FD4E9B"/>
    <w:rsid w:val="00FD7E27"/>
    <w:rsid w:val="00FF2E5D"/>
    <w:rsid w:val="013D77CC"/>
    <w:rsid w:val="01C36812"/>
    <w:rsid w:val="036E3A1F"/>
    <w:rsid w:val="03BD0400"/>
    <w:rsid w:val="05BD72DB"/>
    <w:rsid w:val="0A251E1A"/>
    <w:rsid w:val="0DD87484"/>
    <w:rsid w:val="0DDB6ADE"/>
    <w:rsid w:val="145810EC"/>
    <w:rsid w:val="15146410"/>
    <w:rsid w:val="200A7D1E"/>
    <w:rsid w:val="20B85566"/>
    <w:rsid w:val="219A72C8"/>
    <w:rsid w:val="29A95ABD"/>
    <w:rsid w:val="2FA44178"/>
    <w:rsid w:val="30E84C62"/>
    <w:rsid w:val="3870436D"/>
    <w:rsid w:val="3D7D1C4B"/>
    <w:rsid w:val="453B343C"/>
    <w:rsid w:val="47F5689C"/>
    <w:rsid w:val="4C6B66CE"/>
    <w:rsid w:val="4E1B4AE7"/>
    <w:rsid w:val="51E3536F"/>
    <w:rsid w:val="538D778E"/>
    <w:rsid w:val="555D601A"/>
    <w:rsid w:val="584172B3"/>
    <w:rsid w:val="5FE84519"/>
    <w:rsid w:val="636D1E2B"/>
    <w:rsid w:val="689E30A3"/>
    <w:rsid w:val="6D9756F1"/>
    <w:rsid w:val="6E0824B7"/>
    <w:rsid w:val="709717C2"/>
    <w:rsid w:val="732473B7"/>
    <w:rsid w:val="79D13E26"/>
    <w:rsid w:val="7CE92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link w:val="12"/>
    <w:semiHidden/>
    <w:unhideWhenUsed/>
    <w:qFormat/>
    <w:uiPriority w:val="99"/>
    <w:pPr>
      <w:jc w:val="left"/>
    </w:p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3"/>
    <w:next w:val="3"/>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34"/>
    <w:pPr>
      <w:ind w:firstLine="420" w:firstLineChars="200"/>
    </w:pPr>
  </w:style>
  <w:style w:type="paragraph" w:customStyle="1" w:styleId="11">
    <w:name w:val="修订1"/>
    <w:hidden/>
    <w:unhideWhenUsed/>
    <w:qFormat/>
    <w:uiPriority w:val="99"/>
    <w:rPr>
      <w:rFonts w:ascii="Calibri" w:hAnsi="Calibri" w:eastAsia="宋体" w:cs="Times New Roman"/>
      <w:kern w:val="2"/>
      <w:sz w:val="21"/>
      <w:szCs w:val="22"/>
      <w:lang w:val="en-US" w:eastAsia="zh-CN" w:bidi="ar-SA"/>
    </w:rPr>
  </w:style>
  <w:style w:type="character" w:customStyle="1" w:styleId="12">
    <w:name w:val="批注文字 字符"/>
    <w:basedOn w:val="8"/>
    <w:link w:val="3"/>
    <w:semiHidden/>
    <w:qFormat/>
    <w:uiPriority w:val="99"/>
    <w:rPr>
      <w:rFonts w:ascii="Calibri" w:hAnsi="Calibri" w:eastAsia="宋体" w:cs="Times New Roman"/>
      <w:kern w:val="2"/>
      <w:sz w:val="21"/>
      <w:szCs w:val="22"/>
    </w:rPr>
  </w:style>
  <w:style w:type="character" w:customStyle="1" w:styleId="13">
    <w:name w:val="批注主题 字符"/>
    <w:basedOn w:val="12"/>
    <w:link w:val="6"/>
    <w:semiHidden/>
    <w:qFormat/>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731</Words>
  <Characters>753</Characters>
  <Lines>12</Lines>
  <Paragraphs>3</Paragraphs>
  <TotalTime>16</TotalTime>
  <ScaleCrop>false</ScaleCrop>
  <LinksUpToDate>false</LinksUpToDate>
  <CharactersWithSpaces>808</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2023-09-05T12:49:00Z</dcterms:created>
  <dc:creator>Ruihui.Huang</dc:creator>
  <cp:lastModifiedBy>lenovo</cp:lastModifiedBy>
  <dcterms:modified xsi:type="dcterms:W3CDTF">2025-03-14T09:21:39Z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7E7C7BE23E964FAA9B75B93E92F223ED</vt:lpwstr>
  </property>
</Properties>
</file>