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left="0" w:leftChars="0" w:firstLine="0" w:firstLineChars="0"/>
        <w:jc w:val="left"/>
        <w:rPr>
          <w:rFonts w:ascii="黑体" w:hAnsi="黑体" w:eastAsia="黑体" w:cs="黑体"/>
          <w:bCs/>
          <w:sz w:val="32"/>
          <w:szCs w:val="28"/>
        </w:rPr>
      </w:pPr>
      <w:r>
        <w:rPr>
          <w:rFonts w:hint="eastAsia" w:ascii="黑体" w:hAnsi="黑体" w:eastAsia="黑体" w:cs="黑体"/>
          <w:bCs/>
          <w:sz w:val="32"/>
          <w:szCs w:val="28"/>
        </w:rPr>
        <w:t>附件</w:t>
      </w:r>
    </w:p>
    <w:p>
      <w:pPr>
        <w:spacing w:line="560" w:lineRule="exact"/>
        <w:ind w:left="0" w:leftChars="0" w:firstLine="0" w:firstLineChars="0"/>
        <w:jc w:val="center"/>
        <w:rPr>
          <w:rFonts w:ascii="方正小标宋_GBK" w:hAnsi="方正小标宋_GBK" w:eastAsia="方正小标宋_GBK" w:cs="方正小标宋_GBK"/>
          <w:bCs/>
          <w:sz w:val="36"/>
          <w:szCs w:val="24"/>
        </w:rPr>
      </w:pPr>
      <w:r>
        <w:rPr>
          <w:rFonts w:hint="eastAsia" w:ascii="方正小标宋_GBK" w:hAnsi="方正小标宋_GBK" w:eastAsia="方正小标宋_GBK" w:cs="方正小标宋_GBK"/>
          <w:bCs/>
          <w:sz w:val="36"/>
          <w:szCs w:val="24"/>
          <w:lang w:eastAsia="zh-CN"/>
        </w:rPr>
        <w:t>“</w:t>
      </w:r>
      <w:r>
        <w:rPr>
          <w:rFonts w:hint="eastAsia" w:ascii="方正小标宋_GBK" w:hAnsi="方正小标宋_GBK" w:eastAsia="方正小标宋_GBK" w:cs="方正小标宋_GBK"/>
          <w:bCs/>
          <w:sz w:val="36"/>
          <w:szCs w:val="24"/>
          <w:lang w:val="en-US" w:eastAsia="zh-CN"/>
        </w:rPr>
        <w:t>福建金投共发展</w:t>
      </w:r>
      <w:r>
        <w:rPr>
          <w:rFonts w:hint="eastAsia" w:ascii="方正小标宋_GBK" w:hAnsi="方正小标宋_GBK" w:eastAsia="方正小标宋_GBK" w:cs="方正小标宋_GBK"/>
          <w:bCs/>
          <w:sz w:val="36"/>
          <w:szCs w:val="24"/>
          <w:lang w:eastAsia="zh-CN"/>
        </w:rPr>
        <w:t>”</w:t>
      </w:r>
      <w:r>
        <w:rPr>
          <w:rFonts w:hint="eastAsia" w:ascii="方正小标宋_GBK" w:hAnsi="方正小标宋_GBK" w:eastAsia="方正小标宋_GBK" w:cs="方正小标宋_GBK"/>
          <w:bCs/>
          <w:sz w:val="36"/>
          <w:szCs w:val="24"/>
          <w:lang w:val="en-US" w:eastAsia="zh-CN"/>
        </w:rPr>
        <w:t>系列</w:t>
      </w:r>
      <w:bookmarkStart w:id="0" w:name="_GoBack"/>
      <w:bookmarkEnd w:id="0"/>
      <w:r>
        <w:rPr>
          <w:rFonts w:hint="eastAsia" w:ascii="方正小标宋_GBK" w:hAnsi="方正小标宋_GBK" w:eastAsia="方正小标宋_GBK" w:cs="方正小标宋_GBK"/>
          <w:bCs/>
          <w:sz w:val="36"/>
          <w:szCs w:val="24"/>
        </w:rPr>
        <w:t>子基金管理机构资质合规自评表</w:t>
      </w:r>
    </w:p>
    <w:p>
      <w:pPr>
        <w:spacing w:line="560" w:lineRule="exact"/>
        <w:jc w:val="left"/>
        <w:rPr>
          <w:rFonts w:ascii="仿宋_GB2312" w:hAnsi="仿宋_GB2312" w:eastAsia="仿宋_GB2312" w:cs="仿宋_GB2312"/>
          <w:b/>
          <w:sz w:val="28"/>
          <w:szCs w:val="24"/>
        </w:rPr>
      </w:pPr>
    </w:p>
    <w:p>
      <w:pPr>
        <w:spacing w:line="560" w:lineRule="exact"/>
        <w:ind w:left="0" w:leftChars="0" w:firstLine="0" w:firstLineChars="0"/>
        <w:jc w:val="left"/>
        <w:rPr>
          <w:rFonts w:hint="eastAsia" w:ascii="仿宋_GB2312" w:hAnsi="仿宋_GB2312" w:eastAsia="仿宋_GB2312" w:cs="仿宋_GB2312"/>
          <w:b/>
          <w:sz w:val="28"/>
          <w:szCs w:val="24"/>
        </w:rPr>
      </w:pPr>
      <w:r>
        <w:rPr>
          <w:rFonts w:hint="eastAsia" w:ascii="仿宋_GB2312" w:hAnsi="仿宋_GB2312" w:eastAsia="仿宋_GB2312" w:cs="仿宋_GB2312"/>
          <w:b/>
          <w:sz w:val="28"/>
          <w:szCs w:val="24"/>
        </w:rPr>
        <w:t>拟申</w:t>
      </w:r>
      <w:r>
        <w:rPr>
          <w:rFonts w:hint="eastAsia" w:ascii="仿宋_GB2312" w:hAnsi="仿宋_GB2312" w:eastAsia="仿宋_GB2312" w:cs="仿宋_GB2312"/>
          <w:b/>
          <w:sz w:val="28"/>
          <w:szCs w:val="24"/>
          <w:lang w:val="en-US" w:eastAsia="zh-CN"/>
        </w:rPr>
        <w:t>报机构</w:t>
      </w:r>
      <w:r>
        <w:rPr>
          <w:rFonts w:hint="eastAsia" w:ascii="仿宋_GB2312" w:hAnsi="仿宋_GB2312" w:eastAsia="仿宋_GB2312" w:cs="仿宋_GB2312"/>
          <w:b/>
          <w:sz w:val="28"/>
          <w:szCs w:val="24"/>
        </w:rPr>
        <w:t>名称：</w:t>
      </w:r>
    </w:p>
    <w:p>
      <w:pPr>
        <w:spacing w:line="560" w:lineRule="exact"/>
        <w:ind w:left="0" w:leftChars="0" w:firstLine="0" w:firstLineChars="0"/>
        <w:jc w:val="left"/>
        <w:rPr>
          <w:rFonts w:hint="eastAsia" w:ascii="仿宋_GB2312" w:hAnsi="仿宋_GB2312" w:eastAsia="仿宋_GB2312" w:cs="仿宋_GB2312"/>
          <w:b/>
          <w:sz w:val="28"/>
          <w:szCs w:val="24"/>
        </w:rPr>
      </w:pPr>
    </w:p>
    <w:tbl>
      <w:tblPr>
        <w:tblStyle w:val="4"/>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28"/>
        <w:gridCol w:w="4929"/>
        <w:gridCol w:w="1310"/>
        <w:gridCol w:w="15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tblHeader/>
          <w:jc w:val="center"/>
        </w:trPr>
        <w:tc>
          <w:tcPr>
            <w:tcW w:w="3398" w:type="pct"/>
            <w:gridSpan w:val="2"/>
            <w:shd w:val="clear" w:color="auto" w:fill="auto"/>
            <w:vAlign w:val="center"/>
          </w:tcPr>
          <w:p>
            <w:pPr>
              <w:pStyle w:val="6"/>
              <w:bidi w:val="0"/>
              <w:jc w:val="center"/>
              <w:rPr>
                <w:b/>
                <w:bCs/>
              </w:rPr>
            </w:pPr>
            <w:r>
              <w:rPr>
                <w:rFonts w:hint="eastAsia"/>
                <w:b/>
                <w:bCs/>
              </w:rPr>
              <w:t>项目</w:t>
            </w:r>
          </w:p>
        </w:tc>
        <w:tc>
          <w:tcPr>
            <w:tcW w:w="723" w:type="pct"/>
            <w:shd w:val="clear" w:color="auto" w:fill="auto"/>
            <w:vAlign w:val="center"/>
          </w:tcPr>
          <w:p>
            <w:pPr>
              <w:pStyle w:val="6"/>
              <w:bidi w:val="0"/>
              <w:jc w:val="center"/>
              <w:rPr>
                <w:b/>
                <w:bCs/>
              </w:rPr>
            </w:pPr>
            <w:r>
              <w:rPr>
                <w:rFonts w:hint="eastAsia"/>
                <w:b/>
                <w:bCs/>
              </w:rPr>
              <w:t>是否符合</w:t>
            </w:r>
          </w:p>
        </w:tc>
        <w:tc>
          <w:tcPr>
            <w:tcW w:w="877" w:type="pct"/>
            <w:shd w:val="clear" w:color="auto" w:fill="auto"/>
            <w:vAlign w:val="center"/>
          </w:tcPr>
          <w:p>
            <w:pPr>
              <w:pStyle w:val="6"/>
              <w:bidi w:val="0"/>
              <w:jc w:val="center"/>
              <w:rPr>
                <w:rFonts w:hint="default"/>
                <w:b/>
                <w:bCs/>
                <w:lang w:val="en-US" w:eastAsia="zh-CN"/>
              </w:rPr>
            </w:pPr>
            <w:r>
              <w:rPr>
                <w:rFonts w:hint="eastAsia"/>
                <w:b/>
                <w:bCs/>
                <w:lang w:val="en-US" w:eastAsia="zh-CN"/>
              </w:rPr>
              <w:t>情况说明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5" w:hRule="atLeast"/>
          <w:jc w:val="center"/>
        </w:trPr>
        <w:tc>
          <w:tcPr>
            <w:tcW w:w="678" w:type="pct"/>
            <w:vMerge w:val="restart"/>
            <w:shd w:val="clear" w:color="auto" w:fill="auto"/>
            <w:vAlign w:val="center"/>
          </w:tcPr>
          <w:p>
            <w:pPr>
              <w:pStyle w:val="6"/>
              <w:bidi w:val="0"/>
              <w:ind w:firstLine="0" w:firstLineChars="0"/>
              <w:rPr>
                <w:rFonts w:hint="eastAsia"/>
                <w:b/>
                <w:bCs/>
              </w:rPr>
            </w:pPr>
            <w:r>
              <w:rPr>
                <w:rFonts w:hint="eastAsia"/>
                <w:b/>
                <w:bCs/>
                <w:lang w:val="en-US" w:eastAsia="zh-CN"/>
              </w:rPr>
              <w:t>子基金设立要求</w:t>
            </w:r>
          </w:p>
        </w:tc>
        <w:tc>
          <w:tcPr>
            <w:tcW w:w="2720" w:type="pct"/>
            <w:shd w:val="clear" w:color="auto" w:fill="auto"/>
            <w:vAlign w:val="center"/>
          </w:tcPr>
          <w:p>
            <w:pPr>
              <w:pStyle w:val="6"/>
              <w:bidi w:val="0"/>
              <w:ind w:firstLine="0" w:firstLineChars="0"/>
              <w:jc w:val="left"/>
              <w:rPr>
                <w:rFonts w:hint="eastAsia"/>
              </w:rPr>
            </w:pPr>
            <w:r>
              <w:rPr>
                <w:rFonts w:hint="eastAsia"/>
                <w:lang w:val="en-US" w:eastAsia="zh-CN"/>
              </w:rPr>
              <w:t>1.子基金首期认缴规模不低于20亿元。</w:t>
            </w:r>
          </w:p>
        </w:tc>
        <w:tc>
          <w:tcPr>
            <w:tcW w:w="723" w:type="pct"/>
            <w:shd w:val="clear" w:color="auto" w:fill="auto"/>
            <w:vAlign w:val="center"/>
          </w:tcPr>
          <w:p>
            <w:pPr>
              <w:pStyle w:val="6"/>
              <w:bidi w:val="0"/>
            </w:pPr>
          </w:p>
        </w:tc>
        <w:tc>
          <w:tcPr>
            <w:tcW w:w="877" w:type="pct"/>
            <w:shd w:val="clear" w:color="auto" w:fill="auto"/>
            <w:vAlign w:val="center"/>
          </w:tcPr>
          <w:p>
            <w:pPr>
              <w:pStyle w:val="6"/>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78" w:type="pct"/>
            <w:vMerge w:val="continue"/>
            <w:shd w:val="clear" w:color="auto" w:fill="auto"/>
            <w:vAlign w:val="center"/>
          </w:tcPr>
          <w:p>
            <w:pPr>
              <w:pStyle w:val="6"/>
              <w:bidi w:val="0"/>
              <w:ind w:firstLine="0" w:firstLineChars="0"/>
              <w:rPr>
                <w:rFonts w:hint="eastAsia"/>
                <w:b/>
                <w:bCs/>
              </w:rPr>
            </w:pPr>
          </w:p>
        </w:tc>
        <w:tc>
          <w:tcPr>
            <w:tcW w:w="2720" w:type="pct"/>
            <w:shd w:val="clear" w:color="auto" w:fill="auto"/>
            <w:vAlign w:val="center"/>
          </w:tcPr>
          <w:p>
            <w:pPr>
              <w:pStyle w:val="6"/>
              <w:bidi w:val="0"/>
              <w:ind w:firstLine="0" w:firstLineChars="0"/>
              <w:jc w:val="left"/>
              <w:rPr>
                <w:rFonts w:hint="eastAsia"/>
              </w:rPr>
            </w:pPr>
            <w:r>
              <w:rPr>
                <w:rFonts w:hint="eastAsia"/>
                <w:lang w:val="en-US" w:eastAsia="zh-CN"/>
              </w:rPr>
              <w:t>2.子基金注册在福建省内。</w:t>
            </w:r>
          </w:p>
        </w:tc>
        <w:tc>
          <w:tcPr>
            <w:tcW w:w="723" w:type="pct"/>
            <w:shd w:val="clear" w:color="auto" w:fill="auto"/>
            <w:vAlign w:val="center"/>
          </w:tcPr>
          <w:p>
            <w:pPr>
              <w:pStyle w:val="6"/>
              <w:bidi w:val="0"/>
            </w:pPr>
          </w:p>
        </w:tc>
        <w:tc>
          <w:tcPr>
            <w:tcW w:w="877" w:type="pct"/>
            <w:shd w:val="clear" w:color="auto" w:fill="auto"/>
            <w:vAlign w:val="center"/>
          </w:tcPr>
          <w:p>
            <w:pPr>
              <w:pStyle w:val="6"/>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50" w:hRule="atLeast"/>
          <w:jc w:val="center"/>
        </w:trPr>
        <w:tc>
          <w:tcPr>
            <w:tcW w:w="678" w:type="pct"/>
            <w:vMerge w:val="restart"/>
            <w:shd w:val="clear" w:color="auto" w:fill="auto"/>
            <w:vAlign w:val="center"/>
          </w:tcPr>
          <w:p>
            <w:pPr>
              <w:pStyle w:val="6"/>
              <w:bidi w:val="0"/>
              <w:rPr>
                <w:b/>
                <w:bCs/>
              </w:rPr>
            </w:pPr>
            <w:r>
              <w:rPr>
                <w:rFonts w:hint="eastAsia"/>
                <w:b/>
                <w:bCs/>
              </w:rPr>
              <w:t>管理机构基本资质</w:t>
            </w:r>
          </w:p>
        </w:tc>
        <w:tc>
          <w:tcPr>
            <w:tcW w:w="2720" w:type="pct"/>
            <w:shd w:val="clear" w:color="auto" w:fill="auto"/>
            <w:vAlign w:val="center"/>
          </w:tcPr>
          <w:p>
            <w:pPr>
              <w:pStyle w:val="6"/>
              <w:bidi w:val="0"/>
              <w:jc w:val="left"/>
              <w:rPr>
                <w:rFonts w:hint="eastAsia"/>
                <w:lang w:eastAsia="zh-CN"/>
              </w:rPr>
            </w:pPr>
            <w:r>
              <w:rPr>
                <w:rFonts w:hint="eastAsia"/>
              </w:rPr>
              <w:t>1.依法设立的公司或合伙企业，实收资本不低于1000万元人民币，在中国证券投资基金业协会登记为私募股权、创业投资基金管理人</w:t>
            </w:r>
            <w:r>
              <w:rPr>
                <w:rFonts w:hint="eastAsia"/>
                <w:lang w:eastAsia="zh-CN"/>
              </w:rPr>
              <w:t>。</w:t>
            </w:r>
          </w:p>
        </w:tc>
        <w:tc>
          <w:tcPr>
            <w:tcW w:w="723" w:type="pct"/>
            <w:shd w:val="clear" w:color="auto" w:fill="auto"/>
            <w:vAlign w:val="center"/>
          </w:tcPr>
          <w:p>
            <w:pPr>
              <w:pStyle w:val="6"/>
              <w:bidi w:val="0"/>
            </w:pPr>
          </w:p>
        </w:tc>
        <w:tc>
          <w:tcPr>
            <w:tcW w:w="877" w:type="pct"/>
            <w:shd w:val="clear" w:color="auto" w:fill="auto"/>
            <w:vAlign w:val="center"/>
          </w:tcPr>
          <w:p>
            <w:pPr>
              <w:pStyle w:val="6"/>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78" w:type="pct"/>
            <w:vMerge w:val="continue"/>
            <w:shd w:val="clear" w:color="auto" w:fill="auto"/>
            <w:vAlign w:val="center"/>
          </w:tcPr>
          <w:p>
            <w:pPr>
              <w:pStyle w:val="6"/>
              <w:bidi w:val="0"/>
              <w:rPr>
                <w:b/>
                <w:bCs/>
              </w:rPr>
            </w:pPr>
          </w:p>
        </w:tc>
        <w:tc>
          <w:tcPr>
            <w:tcW w:w="2720" w:type="pct"/>
            <w:shd w:val="clear" w:color="auto" w:fill="auto"/>
            <w:vAlign w:val="center"/>
          </w:tcPr>
          <w:p>
            <w:pPr>
              <w:pStyle w:val="6"/>
              <w:bidi w:val="0"/>
              <w:jc w:val="left"/>
              <w:rPr>
                <w:rFonts w:hint="eastAsia"/>
                <w:lang w:eastAsia="zh-CN"/>
              </w:rPr>
            </w:pPr>
            <w:r>
              <w:rPr>
                <w:rFonts w:hint="eastAsia"/>
              </w:rPr>
              <w:t>2.至少有3名具备3年以上资产管理工作经验的高级管理人员</w:t>
            </w:r>
            <w:r>
              <w:rPr>
                <w:rFonts w:hint="eastAsia"/>
                <w:lang w:eastAsia="zh-CN"/>
              </w:rPr>
              <w:t>。</w:t>
            </w:r>
          </w:p>
        </w:tc>
        <w:tc>
          <w:tcPr>
            <w:tcW w:w="723" w:type="pct"/>
            <w:shd w:val="clear" w:color="auto" w:fill="auto"/>
            <w:vAlign w:val="center"/>
          </w:tcPr>
          <w:p>
            <w:pPr>
              <w:pStyle w:val="6"/>
              <w:bidi w:val="0"/>
            </w:pPr>
          </w:p>
        </w:tc>
        <w:tc>
          <w:tcPr>
            <w:tcW w:w="877" w:type="pct"/>
            <w:shd w:val="clear" w:color="auto" w:fill="auto"/>
            <w:vAlign w:val="center"/>
          </w:tcPr>
          <w:p>
            <w:pPr>
              <w:pStyle w:val="6"/>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78" w:type="pct"/>
            <w:vMerge w:val="continue"/>
            <w:shd w:val="clear" w:color="auto" w:fill="auto"/>
            <w:vAlign w:val="center"/>
          </w:tcPr>
          <w:p>
            <w:pPr>
              <w:pStyle w:val="6"/>
              <w:bidi w:val="0"/>
              <w:rPr>
                <w:b/>
                <w:bCs/>
              </w:rPr>
            </w:pPr>
          </w:p>
        </w:tc>
        <w:tc>
          <w:tcPr>
            <w:tcW w:w="2720" w:type="pct"/>
            <w:shd w:val="clear" w:color="auto" w:fill="auto"/>
            <w:vAlign w:val="center"/>
          </w:tcPr>
          <w:p>
            <w:pPr>
              <w:pStyle w:val="6"/>
              <w:bidi w:val="0"/>
              <w:jc w:val="left"/>
              <w:rPr>
                <w:rFonts w:hint="eastAsia"/>
                <w:lang w:eastAsia="zh-CN"/>
              </w:rPr>
            </w:pPr>
            <w:r>
              <w:rPr>
                <w:rFonts w:hint="eastAsia"/>
              </w:rPr>
              <w:t>3.</w:t>
            </w:r>
            <w:r>
              <w:rPr>
                <w:rFonts w:hint="eastAsia"/>
                <w:lang w:val="en-US" w:eastAsia="zh-CN"/>
              </w:rPr>
              <w:t>子</w:t>
            </w:r>
            <w:r>
              <w:rPr>
                <w:rFonts w:hint="eastAsia"/>
              </w:rPr>
              <w:t>基金管理机构及其董事、监事、高级管理人员及其他从业人员在最近三年无重大违法行为；</w:t>
            </w:r>
            <w:r>
              <w:rPr>
                <w:rFonts w:hint="eastAsia"/>
                <w:lang w:val="en-US" w:eastAsia="zh-CN"/>
              </w:rPr>
              <w:t>子</w:t>
            </w:r>
            <w:r>
              <w:rPr>
                <w:rFonts w:hint="eastAsia"/>
              </w:rPr>
              <w:t>基金管理机构最近三年无明显违反有关政策或以申领财政奖励为目的的政府投资基金投资行为</w:t>
            </w:r>
            <w:r>
              <w:rPr>
                <w:rFonts w:hint="eastAsia"/>
                <w:lang w:eastAsia="zh-CN"/>
              </w:rPr>
              <w:t>。</w:t>
            </w:r>
          </w:p>
        </w:tc>
        <w:tc>
          <w:tcPr>
            <w:tcW w:w="723" w:type="pct"/>
            <w:shd w:val="clear" w:color="auto" w:fill="auto"/>
            <w:vAlign w:val="center"/>
          </w:tcPr>
          <w:p>
            <w:pPr>
              <w:pStyle w:val="6"/>
              <w:bidi w:val="0"/>
            </w:pPr>
          </w:p>
        </w:tc>
        <w:tc>
          <w:tcPr>
            <w:tcW w:w="877" w:type="pct"/>
            <w:shd w:val="clear" w:color="auto" w:fill="auto"/>
            <w:vAlign w:val="center"/>
          </w:tcPr>
          <w:p>
            <w:pPr>
              <w:pStyle w:val="6"/>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150" w:hRule="atLeast"/>
          <w:jc w:val="center"/>
        </w:trPr>
        <w:tc>
          <w:tcPr>
            <w:tcW w:w="678" w:type="pct"/>
            <w:vMerge w:val="continue"/>
            <w:shd w:val="clear" w:color="auto" w:fill="auto"/>
            <w:vAlign w:val="center"/>
          </w:tcPr>
          <w:p>
            <w:pPr>
              <w:pStyle w:val="6"/>
              <w:bidi w:val="0"/>
              <w:rPr>
                <w:b/>
                <w:bCs/>
              </w:rPr>
            </w:pPr>
          </w:p>
        </w:tc>
        <w:tc>
          <w:tcPr>
            <w:tcW w:w="2720" w:type="pct"/>
            <w:shd w:val="clear" w:color="auto" w:fill="auto"/>
            <w:vAlign w:val="center"/>
          </w:tcPr>
          <w:p>
            <w:pPr>
              <w:pStyle w:val="6"/>
              <w:bidi w:val="0"/>
              <w:jc w:val="left"/>
              <w:rPr>
                <w:rFonts w:hint="default"/>
                <w:lang w:val="en-US" w:eastAsia="zh-CN"/>
              </w:rPr>
            </w:pPr>
            <w:r>
              <w:rPr>
                <w:rFonts w:hint="eastAsia"/>
                <w:lang w:val="en-US" w:eastAsia="zh-CN"/>
              </w:rPr>
              <w:t>4.子基金管理机构或核心成员累计管理股权投资基金实缴规模不低于30亿元人民币。</w:t>
            </w:r>
          </w:p>
        </w:tc>
        <w:tc>
          <w:tcPr>
            <w:tcW w:w="723" w:type="pct"/>
            <w:shd w:val="clear" w:color="auto" w:fill="auto"/>
            <w:vAlign w:val="center"/>
          </w:tcPr>
          <w:p>
            <w:pPr>
              <w:pStyle w:val="6"/>
              <w:bidi w:val="0"/>
            </w:pPr>
          </w:p>
        </w:tc>
        <w:tc>
          <w:tcPr>
            <w:tcW w:w="877" w:type="pct"/>
            <w:shd w:val="clear" w:color="auto" w:fill="auto"/>
            <w:vAlign w:val="center"/>
          </w:tcPr>
          <w:p>
            <w:pPr>
              <w:pStyle w:val="6"/>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78" w:type="pct"/>
            <w:vMerge w:val="continue"/>
            <w:shd w:val="clear" w:color="auto" w:fill="auto"/>
            <w:vAlign w:val="center"/>
          </w:tcPr>
          <w:p>
            <w:pPr>
              <w:pStyle w:val="6"/>
              <w:bidi w:val="0"/>
              <w:rPr>
                <w:b/>
                <w:bCs/>
              </w:rPr>
            </w:pPr>
          </w:p>
        </w:tc>
        <w:tc>
          <w:tcPr>
            <w:tcW w:w="2720" w:type="pct"/>
            <w:shd w:val="clear" w:color="auto" w:fill="auto"/>
            <w:vAlign w:val="center"/>
          </w:tcPr>
          <w:p>
            <w:pPr>
              <w:pStyle w:val="6"/>
              <w:bidi w:val="0"/>
              <w:jc w:val="left"/>
              <w:rPr>
                <w:rFonts w:hint="eastAsia"/>
                <w:lang w:eastAsia="zh-CN"/>
              </w:rPr>
            </w:pPr>
            <w:r>
              <w:rPr>
                <w:rFonts w:hint="eastAsia"/>
                <w:lang w:val="en-US" w:eastAsia="zh-CN"/>
              </w:rPr>
              <w:t>5</w:t>
            </w:r>
            <w:r>
              <w:rPr>
                <w:rFonts w:hint="eastAsia"/>
              </w:rPr>
              <w:t>.有符合要求的营业场所、安全防范设施和与基金管理业务有关的其他设施</w:t>
            </w:r>
            <w:r>
              <w:rPr>
                <w:rFonts w:hint="eastAsia"/>
                <w:lang w:eastAsia="zh-CN"/>
              </w:rPr>
              <w:t>。</w:t>
            </w:r>
          </w:p>
        </w:tc>
        <w:tc>
          <w:tcPr>
            <w:tcW w:w="723" w:type="pct"/>
            <w:shd w:val="clear" w:color="auto" w:fill="auto"/>
            <w:vAlign w:val="center"/>
          </w:tcPr>
          <w:p>
            <w:pPr>
              <w:pStyle w:val="6"/>
              <w:bidi w:val="0"/>
            </w:pPr>
          </w:p>
        </w:tc>
        <w:tc>
          <w:tcPr>
            <w:tcW w:w="877" w:type="pct"/>
            <w:shd w:val="clear" w:color="auto" w:fill="auto"/>
            <w:vAlign w:val="center"/>
          </w:tcPr>
          <w:p>
            <w:pPr>
              <w:pStyle w:val="6"/>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78" w:type="pct"/>
            <w:vMerge w:val="continue"/>
            <w:shd w:val="clear" w:color="auto" w:fill="auto"/>
            <w:vAlign w:val="center"/>
          </w:tcPr>
          <w:p>
            <w:pPr>
              <w:pStyle w:val="6"/>
              <w:bidi w:val="0"/>
              <w:rPr>
                <w:b/>
                <w:bCs/>
              </w:rPr>
            </w:pPr>
          </w:p>
        </w:tc>
        <w:tc>
          <w:tcPr>
            <w:tcW w:w="2720" w:type="pct"/>
            <w:shd w:val="clear" w:color="auto" w:fill="auto"/>
            <w:vAlign w:val="center"/>
          </w:tcPr>
          <w:p>
            <w:pPr>
              <w:pStyle w:val="6"/>
              <w:bidi w:val="0"/>
              <w:jc w:val="left"/>
              <w:rPr>
                <w:rFonts w:hint="eastAsia"/>
                <w:lang w:eastAsia="zh-CN"/>
              </w:rPr>
            </w:pPr>
            <w:r>
              <w:rPr>
                <w:rFonts w:hint="eastAsia"/>
                <w:lang w:val="en-US" w:eastAsia="zh-CN"/>
              </w:rPr>
              <w:t>6</w:t>
            </w:r>
            <w:r>
              <w:rPr>
                <w:rFonts w:hint="eastAsia"/>
              </w:rPr>
              <w:t>.有良好的内部治理结构和风险控制制度</w:t>
            </w:r>
            <w:r>
              <w:rPr>
                <w:rFonts w:hint="eastAsia"/>
                <w:lang w:eastAsia="zh-CN"/>
              </w:rPr>
              <w:t>。</w:t>
            </w:r>
          </w:p>
        </w:tc>
        <w:tc>
          <w:tcPr>
            <w:tcW w:w="723" w:type="pct"/>
            <w:shd w:val="clear" w:color="auto" w:fill="auto"/>
            <w:vAlign w:val="center"/>
          </w:tcPr>
          <w:p>
            <w:pPr>
              <w:pStyle w:val="6"/>
              <w:bidi w:val="0"/>
            </w:pPr>
          </w:p>
        </w:tc>
        <w:tc>
          <w:tcPr>
            <w:tcW w:w="877" w:type="pct"/>
            <w:shd w:val="clear" w:color="auto" w:fill="auto"/>
            <w:vAlign w:val="center"/>
          </w:tcPr>
          <w:p>
            <w:pPr>
              <w:pStyle w:val="6"/>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78" w:type="pct"/>
            <w:shd w:val="clear" w:color="auto" w:fill="auto"/>
            <w:vAlign w:val="center"/>
          </w:tcPr>
          <w:p>
            <w:pPr>
              <w:pStyle w:val="6"/>
              <w:bidi w:val="0"/>
              <w:rPr>
                <w:rFonts w:hint="eastAsia"/>
                <w:b/>
                <w:bCs/>
                <w:lang w:val="en-US" w:eastAsia="zh-CN"/>
              </w:rPr>
            </w:pPr>
            <w:r>
              <w:rPr>
                <w:rFonts w:hint="eastAsia"/>
                <w:b/>
                <w:bCs/>
              </w:rPr>
              <w:t>管理机构出资</w:t>
            </w:r>
            <w:r>
              <w:rPr>
                <w:rFonts w:hint="eastAsia"/>
                <w:b/>
                <w:bCs/>
                <w:lang w:val="en-US" w:eastAsia="zh-CN"/>
              </w:rPr>
              <w:t>情况</w:t>
            </w:r>
          </w:p>
        </w:tc>
        <w:tc>
          <w:tcPr>
            <w:tcW w:w="2720" w:type="pct"/>
            <w:shd w:val="clear" w:color="auto" w:fill="auto"/>
            <w:vAlign w:val="center"/>
          </w:tcPr>
          <w:p>
            <w:pPr>
              <w:pStyle w:val="6"/>
              <w:bidi w:val="0"/>
              <w:jc w:val="left"/>
              <w:rPr>
                <w:rFonts w:hint="eastAsia"/>
                <w:lang w:eastAsia="zh-CN"/>
              </w:rPr>
            </w:pPr>
            <w:r>
              <w:rPr>
                <w:rFonts w:hint="eastAsia"/>
              </w:rPr>
              <w:t>子基金管理机构及其关联方出资比例不低于子基金认缴规模的1%</w:t>
            </w:r>
            <w:r>
              <w:rPr>
                <w:rFonts w:hint="eastAsia"/>
                <w:lang w:eastAsia="zh-CN"/>
              </w:rPr>
              <w:t>。</w:t>
            </w:r>
          </w:p>
        </w:tc>
        <w:tc>
          <w:tcPr>
            <w:tcW w:w="723" w:type="pct"/>
            <w:shd w:val="clear" w:color="auto" w:fill="auto"/>
            <w:vAlign w:val="center"/>
          </w:tcPr>
          <w:p>
            <w:pPr>
              <w:pStyle w:val="6"/>
              <w:bidi w:val="0"/>
            </w:pPr>
          </w:p>
        </w:tc>
        <w:tc>
          <w:tcPr>
            <w:tcW w:w="877" w:type="pct"/>
            <w:shd w:val="clear" w:color="auto" w:fill="auto"/>
            <w:vAlign w:val="center"/>
          </w:tcPr>
          <w:p>
            <w:pPr>
              <w:pStyle w:val="6"/>
              <w:bidi w:val="0"/>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0" w:hRule="atLeast"/>
          <w:jc w:val="center"/>
        </w:trPr>
        <w:tc>
          <w:tcPr>
            <w:tcW w:w="678" w:type="pct"/>
            <w:shd w:val="clear" w:color="auto" w:fill="auto"/>
            <w:vAlign w:val="center"/>
          </w:tcPr>
          <w:p>
            <w:pPr>
              <w:pStyle w:val="6"/>
              <w:bidi w:val="0"/>
              <w:rPr>
                <w:b/>
                <w:bCs/>
              </w:rPr>
            </w:pPr>
            <w:r>
              <w:rPr>
                <w:rFonts w:hint="eastAsia"/>
                <w:b/>
                <w:bCs/>
              </w:rPr>
              <w:t>管理机构募资能力</w:t>
            </w:r>
          </w:p>
        </w:tc>
        <w:tc>
          <w:tcPr>
            <w:tcW w:w="2720" w:type="pct"/>
            <w:shd w:val="clear" w:color="auto" w:fill="auto"/>
            <w:vAlign w:val="center"/>
          </w:tcPr>
          <w:p>
            <w:pPr>
              <w:pStyle w:val="6"/>
              <w:bidi w:val="0"/>
              <w:jc w:val="left"/>
            </w:pPr>
            <w:r>
              <w:rPr>
                <w:rFonts w:hint="eastAsia"/>
              </w:rPr>
              <w:t>子基金管理机构应提交募资能力证明材料。申请新设子基金的，在提交子基金申报方案时，须至少已经募集到拟设立子基金首期认缴规模的50%资金(不含</w:t>
            </w:r>
            <w:r>
              <w:rPr>
                <w:rFonts w:hint="eastAsia"/>
                <w:lang w:eastAsia="zh-CN"/>
              </w:rPr>
              <w:t>省级政府投资基金</w:t>
            </w:r>
            <w:r>
              <w:rPr>
                <w:rFonts w:hint="eastAsia"/>
              </w:rPr>
              <w:t>出资部分)，并提供拟出资人的出资承诺函或其他出资证明文件。</w:t>
            </w:r>
            <w:r>
              <w:rPr>
                <w:rFonts w:hint="eastAsia"/>
                <w:lang w:eastAsia="zh-CN"/>
              </w:rPr>
              <w:t>省级政府投资基金</w:t>
            </w:r>
            <w:r>
              <w:rPr>
                <w:rFonts w:hint="eastAsia"/>
              </w:rPr>
              <w:t>投资已设立基金的，应提供</w:t>
            </w:r>
            <w:r>
              <w:rPr>
                <w:rFonts w:hint="eastAsia"/>
                <w:lang w:eastAsia="zh-CN"/>
              </w:rPr>
              <w:t>省级政府投资基金</w:t>
            </w:r>
            <w:r>
              <w:rPr>
                <w:rFonts w:hint="eastAsia"/>
              </w:rPr>
              <w:t>可以入伙的证明材料及全体合伙人的出资证明文件。</w:t>
            </w:r>
          </w:p>
        </w:tc>
        <w:tc>
          <w:tcPr>
            <w:tcW w:w="723" w:type="pct"/>
            <w:shd w:val="clear" w:color="auto" w:fill="auto"/>
            <w:vAlign w:val="center"/>
          </w:tcPr>
          <w:p>
            <w:pPr>
              <w:pStyle w:val="6"/>
              <w:bidi w:val="0"/>
            </w:pPr>
          </w:p>
        </w:tc>
        <w:tc>
          <w:tcPr>
            <w:tcW w:w="877" w:type="pct"/>
            <w:shd w:val="clear" w:color="auto" w:fill="auto"/>
            <w:vAlign w:val="center"/>
          </w:tcPr>
          <w:p>
            <w:pPr>
              <w:pStyle w:val="6"/>
              <w:bidi w:val="0"/>
            </w:pPr>
          </w:p>
        </w:tc>
      </w:tr>
    </w:tbl>
    <w:p>
      <w:pPr>
        <w:pStyle w:val="3"/>
        <w:bidi w:val="0"/>
        <w:rPr>
          <w:rFonts w:hint="eastAsia"/>
        </w:rPr>
      </w:pPr>
      <w:r>
        <w:rPr>
          <w:rFonts w:hint="eastAsia"/>
        </w:rPr>
        <w:t>注：申</w:t>
      </w:r>
      <w:r>
        <w:rPr>
          <w:rFonts w:hint="eastAsia"/>
          <w:lang w:val="en-US" w:eastAsia="zh-CN"/>
        </w:rPr>
        <w:t>报</w:t>
      </w:r>
      <w:r>
        <w:rPr>
          <w:rFonts w:hint="eastAsia"/>
        </w:rPr>
        <w:t>机构应开展合规性自</w:t>
      </w:r>
      <w:r>
        <w:rPr>
          <w:rFonts w:hint="eastAsia"/>
          <w:lang w:val="en-US" w:eastAsia="zh-CN"/>
        </w:rPr>
        <w:t>评</w:t>
      </w:r>
      <w:r>
        <w:rPr>
          <w:rFonts w:hint="eastAsia"/>
        </w:rPr>
        <w:t>，并在是否符合一栏填写“√”或“х”，需要进一步说明的事项请填写在</w:t>
      </w:r>
      <w:r>
        <w:rPr>
          <w:rFonts w:hint="eastAsia"/>
          <w:lang w:val="en-US" w:eastAsia="zh-CN"/>
        </w:rPr>
        <w:t>情况说明栏内</w:t>
      </w:r>
      <w:r>
        <w:rPr>
          <w:rFonts w:hint="eastAsia"/>
        </w:rPr>
        <w:t>。</w:t>
      </w:r>
    </w:p>
    <w:p>
      <w:pPr>
        <w:spacing w:line="560" w:lineRule="exact"/>
        <w:ind w:firstLine="640" w:firstLineChars="200"/>
        <w:rPr>
          <w:rFonts w:hint="eastAsia" w:ascii="仿宋_GB2312" w:hAnsi="仿宋_GB2312" w:eastAsia="仿宋_GB2312" w:cs="仿宋_GB2312"/>
          <w:sz w:val="32"/>
          <w:szCs w:val="40"/>
          <w:lang w:val="en-US" w:eastAsia="zh-CN"/>
        </w:rPr>
      </w:pPr>
    </w:p>
    <w:p>
      <w:pPr>
        <w:spacing w:line="560" w:lineRule="exact"/>
        <w:ind w:firstLine="640" w:firstLineChars="200"/>
        <w:rPr>
          <w:rFonts w:hint="default" w:ascii="仿宋_GB2312" w:hAnsi="仿宋_GB2312" w:eastAsia="仿宋_GB2312" w:cs="仿宋_GB2312"/>
          <w:sz w:val="32"/>
          <w:szCs w:val="40"/>
          <w:lang w:val="en-US" w:eastAsia="zh-CN"/>
        </w:rPr>
      </w:pPr>
      <w:r>
        <w:rPr>
          <w:rFonts w:hint="eastAsia" w:ascii="仿宋_GB2312" w:hAnsi="仿宋_GB2312" w:eastAsia="仿宋_GB2312" w:cs="仿宋_GB2312"/>
          <w:sz w:val="32"/>
          <w:szCs w:val="40"/>
          <w:lang w:val="en-US" w:eastAsia="zh-CN"/>
        </w:rPr>
        <w:t>我公司承诺上述内容真实、准确。我公司将按照上述子基金设立要求设计子基金方案，子基金具体方案以正式提交的申报材料为准。</w:t>
      </w:r>
    </w:p>
    <w:p>
      <w:pPr>
        <w:pStyle w:val="2"/>
      </w:pPr>
    </w:p>
    <w:p>
      <w:pPr>
        <w:wordWrap w:val="0"/>
        <w:spacing w:line="560" w:lineRule="exact"/>
        <w:jc w:val="right"/>
        <w:rPr>
          <w:rFonts w:hint="default" w:ascii="仿宋_GB2312" w:eastAsia="仿宋_GB2312"/>
          <w:bCs/>
          <w:sz w:val="32"/>
          <w:szCs w:val="32"/>
          <w:lang w:val="en-US" w:eastAsia="zh-CN"/>
        </w:rPr>
      </w:pPr>
      <w:r>
        <w:rPr>
          <w:rFonts w:hint="eastAsia" w:ascii="仿宋_GB2312" w:eastAsia="仿宋_GB2312"/>
          <w:bCs/>
          <w:sz w:val="32"/>
          <w:szCs w:val="32"/>
        </w:rPr>
        <w:t>申</w:t>
      </w:r>
      <w:r>
        <w:rPr>
          <w:rFonts w:hint="eastAsia" w:ascii="仿宋_GB2312" w:eastAsia="仿宋_GB2312"/>
          <w:bCs/>
          <w:sz w:val="32"/>
          <w:szCs w:val="32"/>
          <w:lang w:val="en-US" w:eastAsia="zh-CN"/>
        </w:rPr>
        <w:t>报</w:t>
      </w:r>
      <w:r>
        <w:rPr>
          <w:rFonts w:hint="eastAsia" w:ascii="仿宋_GB2312" w:eastAsia="仿宋_GB2312"/>
          <w:bCs/>
          <w:sz w:val="32"/>
          <w:szCs w:val="32"/>
        </w:rPr>
        <w:t>机构（公章）：</w:t>
      </w:r>
      <w:r>
        <w:rPr>
          <w:rFonts w:hint="eastAsia" w:ascii="仿宋_GB2312" w:eastAsia="仿宋_GB2312"/>
          <w:bCs/>
          <w:sz w:val="32"/>
          <w:szCs w:val="32"/>
          <w:lang w:val="en-US" w:eastAsia="zh-CN"/>
        </w:rPr>
        <w:t xml:space="preserve">          </w:t>
      </w:r>
    </w:p>
    <w:p>
      <w:pPr>
        <w:pageBreakBefore w:val="0"/>
        <w:widowControl/>
        <w:kinsoku/>
        <w:wordWrap/>
        <w:overflowPunct/>
        <w:topLinePunct/>
        <w:autoSpaceDE/>
        <w:autoSpaceDN/>
        <w:bidi w:val="0"/>
        <w:adjustRightInd/>
        <w:snapToGrid/>
        <w:spacing w:line="600" w:lineRule="exact"/>
        <w:jc w:val="right"/>
        <w:textAlignment w:val="auto"/>
        <w:rPr>
          <w:rFonts w:hint="eastAsia"/>
          <w:lang w:val="en-US" w:eastAsia="zh-CN"/>
        </w:rPr>
      </w:pPr>
      <w:r>
        <w:rPr>
          <w:rFonts w:hint="eastAsia" w:ascii="仿宋_GB2312" w:eastAsia="仿宋_GB2312"/>
          <w:bCs/>
          <w:sz w:val="32"/>
          <w:szCs w:val="32"/>
        </w:rPr>
        <w:t>日期：    年   月   日</w:t>
      </w:r>
    </w:p>
    <w:p/>
    <w:sectPr>
      <w:pgSz w:w="11906" w:h="16838"/>
      <w:pgMar w:top="1417" w:right="1474" w:bottom="1417" w:left="1587"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ED21037"/>
    <w:rsid w:val="035F7E35"/>
    <w:rsid w:val="3ED21037"/>
    <w:rsid w:val="48AE3861"/>
    <w:rsid w:val="73D152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482" w:firstLineChars="200"/>
      <w:jc w:val="both"/>
    </w:pPr>
    <w:rPr>
      <w:rFonts w:ascii="仿宋_GB2312" w:hAnsi="仿宋_GB2312" w:eastAsia="仿宋_GB2312" w:cstheme="minorBidi"/>
      <w:kern w:val="2"/>
      <w:sz w:val="32"/>
      <w:szCs w:val="22"/>
      <w:lang w:val="en-US" w:eastAsia="zh-CN" w:bidi="ar-SA"/>
      <w14:ligatures w14:val="standardContextual"/>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firstLineChars="200"/>
    </w:pPr>
  </w:style>
  <w:style w:type="paragraph" w:styleId="3">
    <w:name w:val="annotation text"/>
    <w:basedOn w:val="1"/>
    <w:qFormat/>
    <w:uiPriority w:val="0"/>
    <w:pPr>
      <w:spacing w:line="400" w:lineRule="exact"/>
      <w:ind w:firstLine="0" w:firstLineChars="0"/>
      <w:jc w:val="left"/>
    </w:pPr>
    <w:rPr>
      <w:sz w:val="24"/>
    </w:rPr>
  </w:style>
  <w:style w:type="paragraph" w:customStyle="1" w:styleId="6">
    <w:name w:val="Table Paragraph"/>
    <w:basedOn w:val="1"/>
    <w:qFormat/>
    <w:uiPriority w:val="1"/>
    <w:pPr>
      <w:autoSpaceDE w:val="0"/>
      <w:autoSpaceDN w:val="0"/>
      <w:spacing w:line="400" w:lineRule="exact"/>
      <w:ind w:firstLine="0" w:firstLineChars="0"/>
      <w:jc w:val="center"/>
    </w:pPr>
    <w:rPr>
      <w:rFonts w:ascii="仿宋_GB2312" w:hAnsi="仿宋_GB2312" w:eastAsia="仿宋_GB2312" w:cs="楷体"/>
      <w:kern w:val="0"/>
      <w:sz w:val="24"/>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738</Words>
  <Characters>757</Characters>
  <Lines>0</Lines>
  <Paragraphs>0</Paragraphs>
  <TotalTime>0</TotalTime>
  <ScaleCrop>false</ScaleCrop>
  <LinksUpToDate>false</LinksUpToDate>
  <CharactersWithSpaces>777</CharactersWithSpaces>
  <Application>WPS Office_11.8.2.11019_F1E327BC-269C-435d-A152-05C5408002CA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2025-03-20T01:24:00Z</dcterms:created>
  <dc:creator>xiawu</dc:creator>
  <cp:lastModifiedBy>user</cp:lastModifiedBy>
  <dcterms:modified xsi:type="dcterms:W3CDTF">2025-03-21T09:49:49Z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2052-11.8.2.11019</vt:lpwstr>
  </property>
  <property fmtid="{D5CDD505-2E9C-101B-9397-08002B2CF9AE}" pid="3" name="ICV">
    <vt:lpwstr>F883221238C147318FA62F82AF832679_11</vt:lpwstr>
  </property>
  <property fmtid="{D5CDD505-2E9C-101B-9397-08002B2CF9AE}" pid="4" name="KSOTemplateDocerSaveRecord">
    <vt:lpwstr>eyJoZGlkIjoiNDUwMTFkMDI3ZjBmZjczM2Q3M2EwOGI5M2VjYzUzMDkiLCJ1c2VySWQiOiIzMDU1NTA0MzcifQ==</vt:lpwstr>
  </property>
</Properties>
</file>